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2A7" w14:textId="77777777"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2B75">
        <w:rPr>
          <w:rFonts w:ascii="Times New Roman" w:hAnsi="Times New Roman" w:cs="Times New Roman"/>
          <w:b/>
          <w:color w:val="000000"/>
          <w:sz w:val="32"/>
          <w:szCs w:val="32"/>
        </w:rPr>
        <w:t>У П У Т С Т В О</w:t>
      </w:r>
    </w:p>
    <w:p w14:paraId="7FB0D8A3" w14:textId="77777777"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E73D95B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Назив конкурса</w:t>
      </w:r>
    </w:p>
    <w:p w14:paraId="7D664083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6C5D43B" w14:textId="77777777" w:rsidR="0095190B" w:rsidRPr="00E906D9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 xml:space="preserve">Циљ конкурса </w:t>
      </w:r>
    </w:p>
    <w:p w14:paraId="7E6BB1F9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49795CC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Основни услови конкурса:</w:t>
      </w:r>
    </w:p>
    <w:p w14:paraId="465A5BCC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тип организације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може да се пријави за доделу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(удружења, спортска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удружења, фондације, задужбине, спортски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="001B21A7">
        <w:rPr>
          <w:rFonts w:ascii="Times New Roman" w:hAnsi="Times New Roman" w:cs="Times New Roman"/>
          <w:color w:val="000000"/>
          <w:lang w:val="bg-BG"/>
        </w:rPr>
        <w:t>савези,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цркве, верске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заједнице и др.);</w:t>
      </w:r>
    </w:p>
    <w:p w14:paraId="13806CCA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формални услови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да задовоље у зависности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самог конкурса (да ли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где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да ли има седиште у Републици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Србији, да ли је у претходне две године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правноснажно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модлу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ком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кажњено за прекршај или привредни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преступ везан за своју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делатност, да ли му 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рачун блокиран, да ли има пореске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дугове или дугове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социјалног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осигурања и др.);</w:t>
      </w:r>
    </w:p>
    <w:p w14:paraId="40DA4664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посебни услови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 програма морају да задовоље у складу са циљем конкурса (да ли је предлог пројекта у складу са циљем конкурса, да ли има значајан и дуготрајан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утицај на развој области дефинисане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</w:t>
      </w:r>
      <w:r w:rsidR="00730B58">
        <w:rPr>
          <w:rFonts w:ascii="Times New Roman" w:hAnsi="Times New Roman" w:cs="Times New Roman"/>
          <w:color w:val="000000"/>
        </w:rPr>
        <w:t>)</w:t>
      </w:r>
    </w:p>
    <w:p w14:paraId="10CB4F56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2AF440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>, тј. минимални и максимални износ средстава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потребних за реализацију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ће бити одобраван на конкурсу – опционо</w:t>
      </w:r>
    </w:p>
    <w:p w14:paraId="78D17357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642D6A8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Структура буџета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 и висина прихватљивих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трошкова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(трошкови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бити неопходни за извођење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представљати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ствар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нетрошкове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носилаца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њихових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реализације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 евидентирани у обрачунима или пореским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документима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носиоца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његових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партнера; препознатљиви и проверљиви и подржани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оригиналном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документацијом)</w:t>
      </w:r>
    </w:p>
    <w:p w14:paraId="1D319CDC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35B75BF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Табела структуре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буџета и висине буџетских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категорија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(подела 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 –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људски ресурси</w:t>
      </w:r>
      <w:r w:rsidRPr="0095190B">
        <w:rPr>
          <w:rFonts w:ascii="Times New Roman" w:hAnsi="Times New Roman" w:cs="Times New Roman"/>
          <w:color w:val="000000"/>
          <w:lang w:val="bg-BG"/>
        </w:rPr>
        <w:t>, тј. лица ангажована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целокупног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трајања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 за пројектне активности</w:t>
      </w:r>
      <w:r w:rsidRPr="0095190B">
        <w:rPr>
          <w:rFonts w:ascii="Times New Roman" w:hAnsi="Times New Roman" w:cs="Times New Roman"/>
          <w:color w:val="000000"/>
          <w:lang w:val="bg-BG"/>
        </w:rPr>
        <w:t>, тј. оперативни трошкови за пројектне активности – путни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трошкови, трошкови за превоз, трошкови за набавку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опреме, материјалних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средстава, прибора и другог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 за учеснике активности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локалне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канцеларије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настај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у</w:t>
      </w:r>
      <w:r w:rsidR="005F453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реализацијом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, тј. </w:t>
      </w:r>
      <w:r w:rsidR="009C5A73" w:rsidRPr="0095190B">
        <w:rPr>
          <w:rFonts w:ascii="Times New Roman" w:hAnsi="Times New Roman" w:cs="Times New Roman"/>
          <w:color w:val="000000"/>
          <w:lang w:val="bg-BG"/>
        </w:rPr>
        <w:t>Р</w:t>
      </w:r>
      <w:r w:rsidRPr="0095190B">
        <w:rPr>
          <w:rFonts w:ascii="Times New Roman" w:hAnsi="Times New Roman" w:cs="Times New Roman"/>
          <w:color w:val="000000"/>
          <w:lang w:val="bg-BG"/>
        </w:rPr>
        <w:t>ежијски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 (телефон, интернет, струја, комуналије и сл. тако да одговарају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сразмери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поменутих ресурса за потребе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пројекта),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остали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трошкови, услуге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(штампање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материјала, евалуација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конференције и семинари, промотивне активности, банкарске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провизије и сл.)</w:t>
      </w:r>
    </w:p>
    <w:p w14:paraId="36C0E15A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91FFAE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Детаљније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образложење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прихватљиви, а 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нису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1C0A82B7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A456B6A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Предвиђено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трајање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34369F8B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2E936FC3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Локација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на којој се очекује да ће се подржани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реализовати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693364A1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3A857B1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Број предлога пројекта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 може да поднесе једна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цивилног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друштва по конкурсу</w:t>
      </w:r>
      <w:r w:rsidR="005F4539">
        <w:rPr>
          <w:rFonts w:ascii="Times New Roman" w:hAnsi="Times New Roman" w:cs="Times New Roman"/>
          <w:color w:val="000000"/>
          <w:lang w:val="bg-BG"/>
        </w:rPr>
        <w:t>: један.</w:t>
      </w:r>
    </w:p>
    <w:p w14:paraId="1C390E0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3DBC53C" w14:textId="77777777" w:rsidR="0095190B" w:rsidRPr="00260376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Износ средстава</w:t>
      </w:r>
      <w:r w:rsidR="00260376">
        <w:rPr>
          <w:rFonts w:ascii="Times New Roman" w:hAnsi="Times New Roman" w:cs="Times New Roman"/>
          <w:b/>
          <w:bCs/>
          <w:color w:val="000000"/>
        </w:rPr>
        <w:t>: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60376">
        <w:rPr>
          <w:rFonts w:ascii="Times New Roman" w:hAnsi="Times New Roman" w:cs="Times New Roman"/>
          <w:color w:val="000000"/>
          <w:lang w:val="bg-BG"/>
        </w:rPr>
        <w:t>предвиђен</w:t>
      </w:r>
      <w:r w:rsidR="00260376">
        <w:rPr>
          <w:rFonts w:ascii="Times New Roman" w:hAnsi="Times New Roman" w:cs="Times New Roman"/>
          <w:color w:val="000000"/>
        </w:rPr>
        <w:t>a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конкурс</w:t>
      </w:r>
      <w:proofErr w:type="spellStart"/>
      <w:r w:rsidR="00260376">
        <w:rPr>
          <w:rFonts w:ascii="Times New Roman" w:hAnsi="Times New Roman" w:cs="Times New Roman"/>
          <w:color w:val="000000"/>
        </w:rPr>
        <w:t>oм</w:t>
      </w:r>
      <w:proofErr w:type="spellEnd"/>
      <w:r w:rsidR="00260376">
        <w:rPr>
          <w:rFonts w:ascii="Times New Roman" w:hAnsi="Times New Roman" w:cs="Times New Roman"/>
          <w:color w:val="000000"/>
        </w:rPr>
        <w:t>.</w:t>
      </w:r>
    </w:p>
    <w:p w14:paraId="312A6C75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38FA04B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Елементи предлога пројекта и начин њиховог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вредновања</w:t>
      </w:r>
    </w:p>
    <w:p w14:paraId="7805244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Дефинисани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приоритети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у одабиру предлога пројеката (обезбеђено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суфинансирање,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указују на капацитет за спровођење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сарадња са другим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 и др.)</w:t>
      </w:r>
    </w:p>
    <w:p w14:paraId="784D991F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3F838AA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Критеријуми за вредновање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предлога пројеката, који, на пример, могу бити следећи:</w:t>
      </w:r>
    </w:p>
    <w:p w14:paraId="74A2BC14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Предложени програм/пројекат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требало би да у погледу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квалитета, садржине и природе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испуњава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следеће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критеријуме:</w:t>
      </w:r>
    </w:p>
    <w:p w14:paraId="221641CE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законитост и ефикасност 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буџетска средства за финансирање активности удружења и, ако јесу, 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обавезе);</w:t>
      </w:r>
    </w:p>
    <w:p w14:paraId="4AE73D19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капацитет носиоца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предложене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квалификације и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пројектног тима усклађене са предложеним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циљевима, резултатима и активностима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14:paraId="241FC9F1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адекватно партнерство – уколико се конкурсом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жели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утврдити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партнерства; </w:t>
      </w:r>
    </w:p>
    <w:p w14:paraId="7292DE91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релевантност програма или пројекта за остваривање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дефинисаног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конкурсом;</w:t>
      </w:r>
    </w:p>
    <w:p w14:paraId="07714D7A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усклађеност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активности са циљевима, очекиваним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резултатима и циљном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групом;</w:t>
      </w:r>
    </w:p>
    <w:p w14:paraId="20B5EAE8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разрађеност и изводљивост плана реализације програма/пројекта, остваривост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резултата и мерљивост индикатора;</w:t>
      </w:r>
    </w:p>
    <w:p w14:paraId="7E0198D9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развојна, институционална и финансијска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одрживост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предложеног програма/пројекта;</w:t>
      </w:r>
    </w:p>
    <w:p w14:paraId="1E51C37B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значај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се очекује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након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14:paraId="41C508E5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економска оправданост предлога буџета у односу на циљ и пројектне активности;</w:t>
      </w:r>
    </w:p>
    <w:p w14:paraId="3EF31069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промоција, тј. публицитет који се огледа у начину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информисања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групе и шире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јавности о програму или пројекту.</w:t>
      </w:r>
    </w:p>
    <w:p w14:paraId="0DC9501C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При одобравању, приоритет имају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структурне и развојне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природе.</w:t>
      </w:r>
    </w:p>
    <w:p w14:paraId="7F12EBFA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у висини и под условима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обезбеђују да се уз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најмањи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утрошак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а из буџета Града Јагодине </w:t>
      </w:r>
      <w:r w:rsidRPr="0095190B">
        <w:rPr>
          <w:rFonts w:ascii="Times New Roman" w:hAnsi="Times New Roman" w:cs="Times New Roman"/>
          <w:color w:val="000000"/>
          <w:lang w:val="bg-BG"/>
        </w:rPr>
        <w:t>постигну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намеравани резултати.</w:t>
      </w:r>
    </w:p>
    <w:p w14:paraId="13F3E3AA" w14:textId="77777777" w:rsidR="0095190B" w:rsidRPr="00730B58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преношењем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средстава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 посебан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наменски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 xml:space="preserve">рачун код Управе за трезор. </w:t>
      </w:r>
    </w:p>
    <w:p w14:paraId="0E719E64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Програми се финансирају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једнократно или у ратама, у зависности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временског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распона за реализацију програма/пројекта.</w:t>
      </w:r>
    </w:p>
    <w:p w14:paraId="37D62D8F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 xml:space="preserve">Носилац програма/пројекта може поднети 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један предлог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по овом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позиву /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 конкурсу.</w:t>
      </w:r>
    </w:p>
    <w:p w14:paraId="2E9E8883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Са предлагачем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одобреног програма/пројекта </w:t>
      </w:r>
      <w:r w:rsidR="00730B58">
        <w:rPr>
          <w:rFonts w:ascii="Times New Roman" w:hAnsi="Times New Roman" w:cs="Times New Roman"/>
          <w:color w:val="000000"/>
          <w:lang w:val="bg-BG"/>
        </w:rPr>
        <w:t>Град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 Јагодина</w:t>
      </w:r>
      <w:r w:rsidR="00BD2B7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закључује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 у складу са Законом о удружењима и Уредбом о средствима за подстицање програма или недостајућег дела средстава за финансирање програма од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које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реализују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удружења.</w:t>
      </w:r>
    </w:p>
    <w:p w14:paraId="12E7E0F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Рокови и начин пријављивања на конкурс подразумевају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следеће:</w:t>
      </w:r>
    </w:p>
    <w:p w14:paraId="64ADE8E6" w14:textId="77777777" w:rsidR="007B3B34" w:rsidRPr="007B3B34" w:rsidRDefault="0095190B" w:rsidP="007B3B34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информације о начину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прија</w:t>
      </w:r>
      <w:r w:rsidR="00E906D9">
        <w:rPr>
          <w:rFonts w:ascii="Times New Roman" w:hAnsi="Times New Roman" w:cs="Times New Roman"/>
          <w:color w:val="000000"/>
          <w:lang w:val="bg-BG"/>
        </w:rPr>
        <w:t>вљива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ња: Конкурсну документацију преузети са интернет странице: </w:t>
      </w:r>
      <w:r w:rsidR="003F49BB">
        <w:fldChar w:fldCharType="begin"/>
      </w:r>
      <w:r w:rsidR="003F49BB">
        <w:instrText xml:space="preserve"> HYPERLINK "http://www.jagoodina.org.rs" </w:instrText>
      </w:r>
      <w:r w:rsidR="003F49BB">
        <w:fldChar w:fldCharType="separate"/>
      </w:r>
      <w:r w:rsidR="007B3B34" w:rsidRPr="00200884">
        <w:rPr>
          <w:rStyle w:val="Hiperveza"/>
          <w:rFonts w:ascii="Times New Roman" w:hAnsi="Times New Roman" w:cs="Times New Roman"/>
          <w:lang w:val="bg-BG"/>
        </w:rPr>
        <w:t>www.jagoodina.org.rs</w:t>
      </w:r>
      <w:r w:rsidR="003F49BB">
        <w:rPr>
          <w:rStyle w:val="Hiperveza"/>
          <w:rFonts w:ascii="Times New Roman" w:hAnsi="Times New Roman" w:cs="Times New Roman"/>
          <w:lang w:val="bg-BG"/>
        </w:rPr>
        <w:fldChar w:fldCharType="end"/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 у делу: </w:t>
      </w:r>
      <w:r w:rsidR="007B3B34" w:rsidRPr="001C5ABE">
        <w:rPr>
          <w:rFonts w:ascii="Times New Roman" w:hAnsi="Times New Roman" w:cs="Times New Roman"/>
          <w:b/>
          <w:color w:val="000000"/>
          <w:lang w:val="bg-BG"/>
        </w:rPr>
        <w:t>Конкурси</w:t>
      </w:r>
    </w:p>
    <w:p w14:paraId="7ECCADD8" w14:textId="77777777" w:rsidR="007B3B34" w:rsidRDefault="00441F20" w:rsidP="007B3B34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Образац пријаве  са пратећом обавезном конкурсном документацијом, доставља се у затвореној коверти са назнаком За конкурс: „ Јавни конкурс за ...”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не отварати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и истакнутим називом подносиоца програма.</w:t>
      </w:r>
    </w:p>
    <w:p w14:paraId="0D364610" w14:textId="77777777" w:rsidR="00441F20" w:rsidRPr="00441F20" w:rsidRDefault="00441F20" w:rsidP="007B3B34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Пријава се предаје на писарницу или шаље поштом на адресу: Град Јагодина; Градска упра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ва за друштвене делатности: ул </w:t>
      </w:r>
      <w:r>
        <w:rPr>
          <w:rFonts w:ascii="Times New Roman" w:hAnsi="Times New Roman" w:cs="Times New Roman"/>
          <w:color w:val="000000"/>
          <w:lang w:val="bg-BG"/>
        </w:rPr>
        <w:t xml:space="preserve"> Краља Петра </w:t>
      </w:r>
      <w:r w:rsidR="00260376"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 xml:space="preserve"> бр.6 35000 </w:t>
      </w:r>
      <w:proofErr w:type="spellStart"/>
      <w:r>
        <w:rPr>
          <w:rFonts w:ascii="Times New Roman" w:hAnsi="Times New Roman" w:cs="Times New Roman"/>
          <w:color w:val="000000"/>
        </w:rPr>
        <w:t>Јагодина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62A7A66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рок за достављање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пријава</w:t>
      </w:r>
      <w:r w:rsidR="007B3B34">
        <w:rPr>
          <w:rFonts w:ascii="Times New Roman" w:hAnsi="Times New Roman" w:cs="Times New Roman"/>
          <w:color w:val="000000"/>
          <w:lang w:val="bg-BG"/>
        </w:rPr>
        <w:t>: 15 ( петнаест ) дана,</w:t>
      </w:r>
      <w:r w:rsidR="005758C2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од дана објављивања Јавног конкурса.</w:t>
      </w:r>
    </w:p>
    <w:p w14:paraId="56A689CC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контакт подаци</w:t>
      </w:r>
      <w:r w:rsidR="007B3B34">
        <w:rPr>
          <w:rFonts w:ascii="Times New Roman" w:hAnsi="Times New Roman" w:cs="Times New Roman"/>
          <w:b/>
          <w:bCs/>
          <w:color w:val="000000"/>
        </w:rPr>
        <w:t xml:space="preserve">: </w:t>
      </w:r>
      <w:proofErr w:type="spellStart"/>
      <w:r w:rsidR="001B21A7">
        <w:rPr>
          <w:rFonts w:ascii="Times New Roman" w:hAnsi="Times New Roman" w:cs="Times New Roman"/>
          <w:b/>
          <w:bCs/>
          <w:color w:val="000000"/>
        </w:rPr>
        <w:t>Град</w:t>
      </w:r>
      <w:proofErr w:type="spellEnd"/>
      <w:r w:rsidR="001B21A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B21A7">
        <w:rPr>
          <w:rFonts w:ascii="Times New Roman" w:hAnsi="Times New Roman" w:cs="Times New Roman"/>
          <w:b/>
          <w:bCs/>
          <w:color w:val="000000"/>
        </w:rPr>
        <w:t>Јагодина</w:t>
      </w:r>
      <w:proofErr w:type="spellEnd"/>
      <w:r w:rsidR="001B21A7">
        <w:rPr>
          <w:rFonts w:ascii="Times New Roman" w:hAnsi="Times New Roman" w:cs="Times New Roman"/>
          <w:b/>
          <w:bCs/>
          <w:color w:val="000000"/>
        </w:rPr>
        <w:t xml:space="preserve">;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Градска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управа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друштвене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делатности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канцеларија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 xml:space="preserve"> бр.9 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spellStart"/>
      <w:r w:rsidR="007B3B34">
        <w:rPr>
          <w:rFonts w:ascii="Times New Roman" w:hAnsi="Times New Roman" w:cs="Times New Roman"/>
          <w:b/>
          <w:bCs/>
          <w:color w:val="000000"/>
        </w:rPr>
        <w:t>тел</w:t>
      </w:r>
      <w:proofErr w:type="spellEnd"/>
      <w:r w:rsidR="007B3B34">
        <w:rPr>
          <w:rFonts w:ascii="Times New Roman" w:hAnsi="Times New Roman" w:cs="Times New Roman"/>
          <w:b/>
          <w:bCs/>
          <w:color w:val="000000"/>
        </w:rPr>
        <w:t>: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b/>
          <w:bCs/>
          <w:color w:val="000000"/>
        </w:rPr>
        <w:t>035-815-0537</w:t>
      </w:r>
      <w:r w:rsidR="001B21A7">
        <w:rPr>
          <w:rFonts w:ascii="Times New Roman" w:hAnsi="Times New Roman" w:cs="Times New Roman"/>
          <w:b/>
          <w:bCs/>
          <w:color w:val="000000"/>
        </w:rPr>
        <w:t>.</w:t>
      </w:r>
    </w:p>
    <w:p w14:paraId="4E0142EE" w14:textId="77777777" w:rsidR="00EB76FC" w:rsidRPr="0095190B" w:rsidRDefault="00EB76FC" w:rsidP="00441F20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EB76FC" w:rsidRPr="0095190B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6781" w14:textId="77777777" w:rsidR="003F49BB" w:rsidRDefault="003F49BB" w:rsidP="009F428A">
      <w:r>
        <w:separator/>
      </w:r>
    </w:p>
  </w:endnote>
  <w:endnote w:type="continuationSeparator" w:id="0">
    <w:p w14:paraId="7C3A810E" w14:textId="77777777" w:rsidR="003F49BB" w:rsidRDefault="003F49BB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C455" w14:textId="77777777" w:rsidR="003F49BB" w:rsidRDefault="003F49BB" w:rsidP="009F428A">
      <w:r>
        <w:separator/>
      </w:r>
    </w:p>
  </w:footnote>
  <w:footnote w:type="continuationSeparator" w:id="0">
    <w:p w14:paraId="267CF84B" w14:textId="77777777" w:rsidR="003F49BB" w:rsidRDefault="003F49BB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0E8"/>
    <w:multiLevelType w:val="hybridMultilevel"/>
    <w:tmpl w:val="30D24E1C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2505BC"/>
    <w:multiLevelType w:val="hybridMultilevel"/>
    <w:tmpl w:val="81DA15A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39512E"/>
    <w:multiLevelType w:val="hybridMultilevel"/>
    <w:tmpl w:val="82569628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62332F"/>
    <w:multiLevelType w:val="hybridMultilevel"/>
    <w:tmpl w:val="FB70B31A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17B9A"/>
    <w:rsid w:val="00084310"/>
    <w:rsid w:val="000C2599"/>
    <w:rsid w:val="00142A14"/>
    <w:rsid w:val="001B21A7"/>
    <w:rsid w:val="001C071D"/>
    <w:rsid w:val="001C5ABE"/>
    <w:rsid w:val="001E13F3"/>
    <w:rsid w:val="001F166F"/>
    <w:rsid w:val="001F1EA3"/>
    <w:rsid w:val="00214A94"/>
    <w:rsid w:val="00260376"/>
    <w:rsid w:val="002A2BD5"/>
    <w:rsid w:val="0032604F"/>
    <w:rsid w:val="00364656"/>
    <w:rsid w:val="003A482B"/>
    <w:rsid w:val="003A5F53"/>
    <w:rsid w:val="003C607D"/>
    <w:rsid w:val="003D624C"/>
    <w:rsid w:val="003E38AB"/>
    <w:rsid w:val="003F49BB"/>
    <w:rsid w:val="00441F20"/>
    <w:rsid w:val="004C6C06"/>
    <w:rsid w:val="00506752"/>
    <w:rsid w:val="00565F54"/>
    <w:rsid w:val="005758C2"/>
    <w:rsid w:val="005E2067"/>
    <w:rsid w:val="005F4539"/>
    <w:rsid w:val="00607519"/>
    <w:rsid w:val="0070051E"/>
    <w:rsid w:val="00730B58"/>
    <w:rsid w:val="007B3B34"/>
    <w:rsid w:val="008D0AB4"/>
    <w:rsid w:val="0090293D"/>
    <w:rsid w:val="0095190B"/>
    <w:rsid w:val="00982D0D"/>
    <w:rsid w:val="009C5A73"/>
    <w:rsid w:val="009F428A"/>
    <w:rsid w:val="00A014A1"/>
    <w:rsid w:val="00A34F2D"/>
    <w:rsid w:val="00A5678E"/>
    <w:rsid w:val="00A96B89"/>
    <w:rsid w:val="00AC5CD8"/>
    <w:rsid w:val="00B67610"/>
    <w:rsid w:val="00BD2B75"/>
    <w:rsid w:val="00BE1890"/>
    <w:rsid w:val="00BF229A"/>
    <w:rsid w:val="00CE2670"/>
    <w:rsid w:val="00D7303C"/>
    <w:rsid w:val="00D73D47"/>
    <w:rsid w:val="00D82F1C"/>
    <w:rsid w:val="00D859E2"/>
    <w:rsid w:val="00DA5276"/>
    <w:rsid w:val="00DF4C5D"/>
    <w:rsid w:val="00E35946"/>
    <w:rsid w:val="00E906D9"/>
    <w:rsid w:val="00E91442"/>
    <w:rsid w:val="00EB76FC"/>
    <w:rsid w:val="00EF2457"/>
    <w:rsid w:val="00F31C10"/>
    <w:rsid w:val="00F50FC3"/>
    <w:rsid w:val="00F85FCA"/>
    <w:rsid w:val="00FB02E9"/>
    <w:rsid w:val="00FE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FB9E"/>
  <w15:docId w15:val="{AB7299A8-0099-4ECB-A855-2E0FAEB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9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Nabrajanje11">
    <w:name w:val="Nabrajanje 1.1."/>
    <w:basedOn w:val="Nabrajanje"/>
    <w:uiPriority w:val="99"/>
    <w:rsid w:val="0095190B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95190B"/>
  </w:style>
  <w:style w:type="paragraph" w:customStyle="1" w:styleId="Nabrajanje111">
    <w:name w:val="Nabrajanje 1.1.1."/>
    <w:basedOn w:val="Nabrajanje11"/>
    <w:uiPriority w:val="99"/>
    <w:rsid w:val="0095190B"/>
    <w:pPr>
      <w:ind w:left="1191"/>
    </w:pPr>
  </w:style>
  <w:style w:type="character" w:styleId="Hiperveza">
    <w:name w:val="Hyperlink"/>
    <w:basedOn w:val="Podrazumevanifontpasusa"/>
    <w:uiPriority w:val="99"/>
    <w:unhideWhenUsed/>
    <w:rsid w:val="007B3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8355D4-EA2F-4081-811F-FF19AA2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2020-02-04T11:10:00Z</cp:lastPrinted>
  <dcterms:created xsi:type="dcterms:W3CDTF">2023-12-07T08:09:00Z</dcterms:created>
  <dcterms:modified xsi:type="dcterms:W3CDTF">2023-12-07T08:09:00Z</dcterms:modified>
</cp:coreProperties>
</file>